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C942F" w14:textId="77777777" w:rsidR="00E22A23" w:rsidRPr="007E5598" w:rsidRDefault="00E22A23" w:rsidP="00E22A23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093D9C54" w14:textId="41BDBA4B" w:rsidR="00E22A23" w:rsidRPr="007E5598" w:rsidRDefault="00E22A23" w:rsidP="00B021D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E5598">
        <w:rPr>
          <w:rFonts w:asciiTheme="majorHAnsi" w:hAnsiTheme="majorHAnsi" w:cstheme="majorHAnsi"/>
          <w:b/>
          <w:bCs/>
          <w:sz w:val="24"/>
          <w:szCs w:val="24"/>
        </w:rPr>
        <w:t xml:space="preserve">Yttrande </w:t>
      </w:r>
      <w:r w:rsidR="00B021D6" w:rsidRPr="007E5598">
        <w:rPr>
          <w:rFonts w:asciiTheme="majorHAnsi" w:hAnsiTheme="majorHAnsi" w:cstheme="majorHAnsi"/>
          <w:b/>
          <w:bCs/>
          <w:sz w:val="24"/>
          <w:szCs w:val="24"/>
        </w:rPr>
        <w:t>2021-04-01</w:t>
      </w:r>
      <w:r w:rsidRPr="007E5598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7E5598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1BA30069" w14:textId="77777777" w:rsidR="00E22A23" w:rsidRPr="007E5598" w:rsidRDefault="00E22A23" w:rsidP="00E22A23">
      <w:pPr>
        <w:ind w:left="2608"/>
        <w:rPr>
          <w:rFonts w:asciiTheme="majorHAnsi" w:hAnsiTheme="majorHAnsi" w:cstheme="majorHAnsi"/>
          <w:b/>
          <w:bCs/>
          <w:sz w:val="24"/>
          <w:szCs w:val="24"/>
        </w:rPr>
      </w:pPr>
    </w:p>
    <w:p w14:paraId="696D455A" w14:textId="3EEB9CB1" w:rsidR="00E22A23" w:rsidRPr="007E04FF" w:rsidRDefault="00B021D6" w:rsidP="007E04FF">
      <w:pPr>
        <w:pStyle w:val="Sidfotstext"/>
        <w:jc w:val="right"/>
        <w:rPr>
          <w:rFonts w:eastAsia="Calibri"/>
          <w:sz w:val="24"/>
        </w:rPr>
      </w:pPr>
      <w:bookmarkStart w:id="0" w:name="ftiCompanyName_01"/>
      <w:r w:rsidRPr="007E5598">
        <w:rPr>
          <w:rFonts w:eastAsia="Calibri"/>
          <w:b/>
          <w:sz w:val="24"/>
        </w:rPr>
        <w:t>Transportstyrelsen</w:t>
      </w:r>
      <w:bookmarkEnd w:id="0"/>
      <w:r w:rsidRPr="007E5598">
        <w:rPr>
          <w:rFonts w:eastAsia="Calibri"/>
          <w:b/>
          <w:sz w:val="24"/>
        </w:rPr>
        <w:br/>
      </w:r>
      <w:bookmarkStart w:id="1" w:name="chkOrgLevel1_01"/>
      <w:r w:rsidRPr="007E5598">
        <w:rPr>
          <w:rFonts w:eastAsia="Calibri"/>
          <w:sz w:val="24"/>
        </w:rPr>
        <w:t>Väg och järnväg</w:t>
      </w:r>
      <w:bookmarkEnd w:id="1"/>
      <w:r w:rsidRPr="007E5598">
        <w:rPr>
          <w:rFonts w:eastAsia="Calibri"/>
          <w:sz w:val="24"/>
        </w:rPr>
        <w:br/>
      </w:r>
      <w:bookmarkStart w:id="2" w:name="ftiPostalAddress_01"/>
      <w:r w:rsidRPr="007E5598">
        <w:rPr>
          <w:rFonts w:eastAsia="Calibri"/>
          <w:sz w:val="24"/>
        </w:rPr>
        <w:t>Box 267, 781 23 Borlänge</w:t>
      </w:r>
      <w:bookmarkEnd w:id="2"/>
    </w:p>
    <w:p w14:paraId="200A8D27" w14:textId="77777777" w:rsidR="00E22A23" w:rsidRPr="007E5598" w:rsidRDefault="00E22A23" w:rsidP="00E22A23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ABA75D7" w14:textId="77777777" w:rsidR="00B021D6" w:rsidRPr="007E5598" w:rsidRDefault="00E22A23" w:rsidP="00E22A2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E5598">
        <w:rPr>
          <w:rFonts w:asciiTheme="majorHAnsi" w:hAnsiTheme="majorHAnsi" w:cstheme="majorHAnsi"/>
          <w:b/>
          <w:bCs/>
          <w:sz w:val="24"/>
          <w:szCs w:val="24"/>
        </w:rPr>
        <w:t>Synpunkter till Transportstyrelsen</w:t>
      </w:r>
      <w:r w:rsidR="00B021D6" w:rsidRPr="007E559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E5598">
        <w:rPr>
          <w:rFonts w:asciiTheme="majorHAnsi" w:hAnsiTheme="majorHAnsi" w:cstheme="majorHAnsi"/>
          <w:b/>
          <w:bCs/>
          <w:sz w:val="24"/>
          <w:szCs w:val="24"/>
        </w:rPr>
        <w:t xml:space="preserve"> angående översyn av </w:t>
      </w:r>
    </w:p>
    <w:p w14:paraId="28A5127D" w14:textId="4952ACFF" w:rsidR="007E04FF" w:rsidRPr="007E5598" w:rsidRDefault="00E22A23" w:rsidP="00E22A23">
      <w:pPr>
        <w:rPr>
          <w:rFonts w:asciiTheme="majorHAnsi" w:hAnsiTheme="majorHAnsi" w:cstheme="majorHAnsi"/>
          <w:b/>
          <w:bCs/>
          <w:sz w:val="24"/>
          <w:szCs w:val="24"/>
        </w:rPr>
      </w:pPr>
      <w:proofErr w:type="spellStart"/>
      <w:r w:rsidRPr="007E5598">
        <w:rPr>
          <w:rFonts w:asciiTheme="majorHAnsi" w:hAnsiTheme="majorHAnsi" w:cstheme="majorHAnsi"/>
          <w:b/>
          <w:bCs/>
          <w:sz w:val="24"/>
          <w:szCs w:val="24"/>
        </w:rPr>
        <w:t>TSFS</w:t>
      </w:r>
      <w:proofErr w:type="spellEnd"/>
      <w:r w:rsidRPr="007E5598">
        <w:rPr>
          <w:rFonts w:asciiTheme="majorHAnsi" w:hAnsiTheme="majorHAnsi" w:cstheme="majorHAnsi"/>
          <w:b/>
          <w:bCs/>
          <w:sz w:val="24"/>
          <w:szCs w:val="24"/>
        </w:rPr>
        <w:t xml:space="preserve"> 2010:125, 12 och 13 kap</w:t>
      </w:r>
      <w:r w:rsidR="00B021D6" w:rsidRPr="007E5598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7E5598">
        <w:rPr>
          <w:rFonts w:asciiTheme="majorHAnsi" w:hAnsiTheme="majorHAnsi" w:cstheme="majorHAnsi"/>
          <w:b/>
          <w:bCs/>
          <w:sz w:val="24"/>
          <w:szCs w:val="24"/>
        </w:rPr>
        <w:t xml:space="preserve"> från </w:t>
      </w:r>
      <w:r w:rsidRPr="007E5598">
        <w:rPr>
          <w:rFonts w:asciiTheme="majorHAnsi" w:hAnsiTheme="majorHAnsi" w:cstheme="majorHAnsi"/>
          <w:b/>
          <w:bCs/>
          <w:sz w:val="24"/>
          <w:szCs w:val="24"/>
        </w:rPr>
        <w:t>Svenska Psykiatriska Föreningen</w:t>
      </w:r>
      <w:r w:rsidR="00B021D6" w:rsidRPr="007E5598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C065088" w14:textId="2B1274A6" w:rsidR="00E22A23" w:rsidRDefault="00E22A23" w:rsidP="00E22A23">
      <w:pPr>
        <w:rPr>
          <w:rFonts w:asciiTheme="majorHAnsi" w:hAnsiTheme="majorHAnsi" w:cstheme="majorHAnsi"/>
          <w:bCs/>
          <w:sz w:val="24"/>
          <w:szCs w:val="24"/>
        </w:rPr>
      </w:pPr>
      <w:r w:rsidRPr="007E5598">
        <w:rPr>
          <w:rFonts w:asciiTheme="majorHAnsi" w:hAnsiTheme="majorHAnsi" w:cstheme="majorHAnsi"/>
          <w:b/>
          <w:bCs/>
          <w:sz w:val="24"/>
          <w:szCs w:val="24"/>
        </w:rPr>
        <w:t xml:space="preserve">Sammanfattning: </w:t>
      </w:r>
      <w:r w:rsidRPr="007E5598">
        <w:rPr>
          <w:rFonts w:asciiTheme="majorHAnsi" w:hAnsiTheme="majorHAnsi" w:cstheme="majorHAnsi"/>
          <w:bCs/>
          <w:sz w:val="24"/>
          <w:szCs w:val="24"/>
        </w:rPr>
        <w:t>Svenska Psykiatriska föreningen tackar för möjligheten att yttra sig över rubricerade</w:t>
      </w:r>
      <w:r w:rsidRPr="007E5598">
        <w:rPr>
          <w:rFonts w:asciiTheme="majorHAnsi" w:hAnsiTheme="majorHAnsi" w:cstheme="majorHAnsi"/>
          <w:bCs/>
          <w:sz w:val="24"/>
          <w:szCs w:val="24"/>
        </w:rPr>
        <w:t xml:space="preserve"> remiss</w:t>
      </w:r>
      <w:r w:rsidRPr="007E5598">
        <w:rPr>
          <w:rFonts w:asciiTheme="majorHAnsi" w:hAnsiTheme="majorHAnsi" w:cstheme="majorHAnsi"/>
          <w:bCs/>
          <w:sz w:val="24"/>
          <w:szCs w:val="24"/>
        </w:rPr>
        <w:t>. Sammantaget samtycker föreningen</w:t>
      </w:r>
      <w:r w:rsidRPr="007E5598">
        <w:rPr>
          <w:rFonts w:asciiTheme="majorHAnsi" w:hAnsiTheme="majorHAnsi" w:cstheme="majorHAnsi"/>
          <w:bCs/>
          <w:sz w:val="24"/>
          <w:szCs w:val="24"/>
        </w:rPr>
        <w:t xml:space="preserve"> till befintliga kapitel med tillägg</w:t>
      </w:r>
      <w:r w:rsidR="00DE71D0">
        <w:rPr>
          <w:rFonts w:asciiTheme="majorHAnsi" w:hAnsiTheme="majorHAnsi" w:cstheme="majorHAnsi"/>
          <w:bCs/>
          <w:sz w:val="24"/>
          <w:szCs w:val="24"/>
        </w:rPr>
        <w:t>en</w:t>
      </w:r>
      <w:r w:rsidRPr="007E5598">
        <w:rPr>
          <w:rFonts w:asciiTheme="majorHAnsi" w:hAnsiTheme="majorHAnsi" w:cstheme="majorHAnsi"/>
          <w:bCs/>
          <w:sz w:val="24"/>
          <w:szCs w:val="24"/>
        </w:rPr>
        <w:t>:</w:t>
      </w:r>
    </w:p>
    <w:p w14:paraId="35860681" w14:textId="77777777" w:rsidR="007E04FF" w:rsidRPr="007E5598" w:rsidRDefault="007E04FF" w:rsidP="00E22A23">
      <w:pPr>
        <w:rPr>
          <w:rFonts w:asciiTheme="majorHAnsi" w:hAnsiTheme="majorHAnsi" w:cstheme="majorHAnsi"/>
          <w:bCs/>
          <w:sz w:val="24"/>
          <w:szCs w:val="24"/>
        </w:rPr>
      </w:pPr>
    </w:p>
    <w:p w14:paraId="2D9844AF" w14:textId="6810E895" w:rsidR="00B021D6" w:rsidRPr="005A5F03" w:rsidRDefault="00E22A23" w:rsidP="00E22A23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A5F03">
        <w:rPr>
          <w:rFonts w:asciiTheme="majorHAnsi" w:hAnsiTheme="majorHAnsi" w:cstheme="majorHAnsi"/>
          <w:b/>
          <w:bCs/>
          <w:sz w:val="24"/>
          <w:szCs w:val="24"/>
        </w:rPr>
        <w:t xml:space="preserve">Synpunkter på </w:t>
      </w:r>
      <w:proofErr w:type="spellStart"/>
      <w:r w:rsidRPr="005A5F03">
        <w:rPr>
          <w:rFonts w:asciiTheme="majorHAnsi" w:hAnsiTheme="majorHAnsi" w:cstheme="majorHAnsi"/>
          <w:b/>
          <w:bCs/>
          <w:sz w:val="24"/>
          <w:szCs w:val="24"/>
        </w:rPr>
        <w:t>TSFS</w:t>
      </w:r>
      <w:proofErr w:type="spellEnd"/>
      <w:r w:rsidRPr="005A5F03">
        <w:rPr>
          <w:rFonts w:asciiTheme="majorHAnsi" w:hAnsiTheme="majorHAnsi" w:cstheme="majorHAnsi"/>
          <w:b/>
          <w:bCs/>
          <w:sz w:val="24"/>
          <w:szCs w:val="24"/>
        </w:rPr>
        <w:t xml:space="preserve"> 2010:125, 12 kap</w:t>
      </w:r>
      <w:r w:rsidR="007E04FF">
        <w:rPr>
          <w:rFonts w:asciiTheme="majorHAnsi" w:hAnsiTheme="majorHAnsi" w:cstheme="majorHAnsi"/>
          <w:b/>
          <w:bCs/>
          <w:sz w:val="24"/>
          <w:szCs w:val="24"/>
        </w:rPr>
        <w:t>, 13 kap</w:t>
      </w:r>
    </w:p>
    <w:p w14:paraId="04A075DA" w14:textId="46CC262A" w:rsidR="00B021D6" w:rsidRDefault="007E5598" w:rsidP="00B021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E5598">
        <w:rPr>
          <w:rFonts w:asciiTheme="majorHAnsi" w:hAnsiTheme="majorHAnsi" w:cstheme="majorHAnsi"/>
          <w:sz w:val="24"/>
          <w:szCs w:val="24"/>
        </w:rPr>
        <w:t xml:space="preserve">a) </w:t>
      </w:r>
      <w:r w:rsidR="00B021D6" w:rsidRPr="007E5598">
        <w:rPr>
          <w:rFonts w:asciiTheme="majorHAnsi" w:hAnsiTheme="majorHAnsi" w:cstheme="majorHAnsi"/>
          <w:sz w:val="24"/>
          <w:szCs w:val="24"/>
        </w:rPr>
        <w:t>Läkaren bör få mandat att kunna genomföra en helhetsbedömning där patientens särskilda omständigheter bör få tas i beaktande</w:t>
      </w:r>
      <w:r>
        <w:rPr>
          <w:rFonts w:asciiTheme="majorHAnsi" w:hAnsiTheme="majorHAnsi" w:cstheme="majorHAnsi"/>
          <w:sz w:val="24"/>
          <w:szCs w:val="24"/>
        </w:rPr>
        <w:t xml:space="preserve"> inför en slutlig sammanfattande bedömning</w:t>
      </w:r>
      <w:r w:rsidR="007E04FF">
        <w:rPr>
          <w:rFonts w:asciiTheme="majorHAnsi" w:hAnsiTheme="majorHAnsi" w:cstheme="majorHAnsi"/>
          <w:sz w:val="24"/>
          <w:szCs w:val="24"/>
        </w:rPr>
        <w:t>, där</w:t>
      </w:r>
      <w:r>
        <w:rPr>
          <w:rFonts w:asciiTheme="majorHAnsi" w:hAnsiTheme="majorHAnsi" w:cstheme="majorHAnsi"/>
          <w:sz w:val="24"/>
          <w:szCs w:val="24"/>
        </w:rPr>
        <w:t xml:space="preserve"> läkaren </w:t>
      </w:r>
      <w:r w:rsidR="007E04FF">
        <w:rPr>
          <w:rFonts w:asciiTheme="majorHAnsi" w:hAnsiTheme="majorHAnsi" w:cstheme="majorHAnsi"/>
          <w:sz w:val="24"/>
          <w:szCs w:val="24"/>
        </w:rPr>
        <w:t xml:space="preserve">bedömning i intyget är det </w:t>
      </w:r>
      <w:r>
        <w:rPr>
          <w:rFonts w:asciiTheme="majorHAnsi" w:hAnsiTheme="majorHAnsi" w:cstheme="majorHAnsi"/>
          <w:sz w:val="24"/>
          <w:szCs w:val="24"/>
        </w:rPr>
        <w:t xml:space="preserve">som får väga tyngst. </w:t>
      </w:r>
    </w:p>
    <w:p w14:paraId="736248BE" w14:textId="1C8D8EDF" w:rsidR="007E5598" w:rsidRDefault="007E5598" w:rsidP="00B021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864C50A" w14:textId="4A1CF252" w:rsidR="00E30174" w:rsidRDefault="007E5598" w:rsidP="00E3017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b) </w:t>
      </w:r>
      <w:proofErr w:type="spellStart"/>
      <w:r>
        <w:rPr>
          <w:rFonts w:asciiTheme="majorHAnsi" w:hAnsiTheme="majorHAnsi" w:cstheme="majorHAnsi"/>
          <w:sz w:val="24"/>
          <w:szCs w:val="24"/>
        </w:rPr>
        <w:t>Peth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är en god och specifik alkoholmarkör med kort halveringstid</w:t>
      </w:r>
      <w:r w:rsidR="005A5F03">
        <w:rPr>
          <w:rFonts w:asciiTheme="majorHAnsi" w:hAnsiTheme="majorHAnsi" w:cstheme="majorHAnsi"/>
          <w:sz w:val="24"/>
          <w:szCs w:val="24"/>
        </w:rPr>
        <w:t xml:space="preserve"> och kan spegla helnykterhet</w:t>
      </w:r>
      <w:r>
        <w:rPr>
          <w:rFonts w:asciiTheme="majorHAnsi" w:hAnsiTheme="majorHAnsi" w:cstheme="majorHAnsi"/>
          <w:sz w:val="24"/>
          <w:szCs w:val="24"/>
        </w:rPr>
        <w:t xml:space="preserve">, och som </w:t>
      </w:r>
      <w:r w:rsidR="00DE71D0">
        <w:rPr>
          <w:rFonts w:asciiTheme="majorHAnsi" w:hAnsiTheme="majorHAnsi" w:cstheme="majorHAnsi"/>
          <w:sz w:val="24"/>
          <w:szCs w:val="24"/>
        </w:rPr>
        <w:t xml:space="preserve">därför </w:t>
      </w:r>
      <w:r>
        <w:rPr>
          <w:rFonts w:asciiTheme="majorHAnsi" w:hAnsiTheme="majorHAnsi" w:cstheme="majorHAnsi"/>
          <w:sz w:val="24"/>
          <w:szCs w:val="24"/>
        </w:rPr>
        <w:t>kräver tätare provtagningar</w:t>
      </w:r>
      <w:r w:rsidR="005A5F03">
        <w:rPr>
          <w:rFonts w:asciiTheme="majorHAnsi" w:hAnsiTheme="majorHAnsi" w:cstheme="majorHAnsi"/>
          <w:sz w:val="24"/>
          <w:szCs w:val="24"/>
        </w:rPr>
        <w:t xml:space="preserve">. Läkare bör kunna få använda detta </w:t>
      </w:r>
      <w:proofErr w:type="spellStart"/>
      <w:proofErr w:type="gramStart"/>
      <w:r w:rsidR="005A5F03">
        <w:rPr>
          <w:rFonts w:asciiTheme="majorHAnsi" w:hAnsiTheme="majorHAnsi" w:cstheme="majorHAnsi"/>
          <w:sz w:val="24"/>
          <w:szCs w:val="24"/>
        </w:rPr>
        <w:t>t.ex</w:t>
      </w:r>
      <w:proofErr w:type="spellEnd"/>
      <w:proofErr w:type="gramEnd"/>
      <w:r w:rsidR="005A5F03">
        <w:rPr>
          <w:rFonts w:asciiTheme="majorHAnsi" w:hAnsiTheme="majorHAnsi" w:cstheme="majorHAnsi"/>
          <w:sz w:val="24"/>
          <w:szCs w:val="24"/>
        </w:rPr>
        <w:t xml:space="preserve"> leversjukdom eller andra omständigheter där </w:t>
      </w:r>
      <w:proofErr w:type="spellStart"/>
      <w:r w:rsidR="005A5F03">
        <w:rPr>
          <w:rFonts w:asciiTheme="majorHAnsi" w:hAnsiTheme="majorHAnsi" w:cstheme="majorHAnsi"/>
          <w:sz w:val="24"/>
          <w:szCs w:val="24"/>
        </w:rPr>
        <w:t>CDT</w:t>
      </w:r>
      <w:proofErr w:type="spellEnd"/>
      <w:r w:rsidR="005A5F03">
        <w:rPr>
          <w:rFonts w:asciiTheme="majorHAnsi" w:hAnsiTheme="majorHAnsi" w:cstheme="majorHAnsi"/>
          <w:sz w:val="24"/>
          <w:szCs w:val="24"/>
        </w:rPr>
        <w:t xml:space="preserve"> bedömts kunna </w:t>
      </w:r>
      <w:r w:rsidR="00E30174">
        <w:rPr>
          <w:rFonts w:asciiTheme="majorHAnsi" w:hAnsiTheme="majorHAnsi" w:cstheme="majorHAnsi"/>
          <w:sz w:val="24"/>
          <w:szCs w:val="24"/>
        </w:rPr>
        <w:t>visa</w:t>
      </w:r>
      <w:r w:rsidR="005A5F03">
        <w:rPr>
          <w:rFonts w:asciiTheme="majorHAnsi" w:hAnsiTheme="majorHAnsi" w:cstheme="majorHAnsi"/>
          <w:sz w:val="24"/>
          <w:szCs w:val="24"/>
        </w:rPr>
        <w:t xml:space="preserve"> falskt höga värden</w:t>
      </w:r>
      <w:r w:rsidR="00E30174">
        <w:rPr>
          <w:rFonts w:asciiTheme="majorHAnsi" w:hAnsiTheme="majorHAnsi" w:cstheme="majorHAnsi"/>
          <w:sz w:val="24"/>
          <w:szCs w:val="24"/>
        </w:rPr>
        <w:t xml:space="preserve">, </w:t>
      </w:r>
      <w:r w:rsidR="00DE71D0">
        <w:rPr>
          <w:rFonts w:asciiTheme="majorHAnsi" w:hAnsiTheme="majorHAnsi" w:cstheme="majorHAnsi"/>
          <w:sz w:val="24"/>
          <w:szCs w:val="24"/>
        </w:rPr>
        <w:t>samt</w:t>
      </w:r>
      <w:r w:rsidR="00E30174">
        <w:rPr>
          <w:rFonts w:asciiTheme="majorHAnsi" w:hAnsiTheme="majorHAnsi" w:cstheme="majorHAnsi"/>
          <w:sz w:val="24"/>
          <w:szCs w:val="24"/>
        </w:rPr>
        <w:t xml:space="preserve"> om läkaren bedömer att denna provtagningsform på annat sätt </w:t>
      </w:r>
      <w:r w:rsidR="00DE71D0">
        <w:rPr>
          <w:rFonts w:asciiTheme="majorHAnsi" w:hAnsiTheme="majorHAnsi" w:cstheme="majorHAnsi"/>
          <w:sz w:val="24"/>
          <w:szCs w:val="24"/>
        </w:rPr>
        <w:t xml:space="preserve">är </w:t>
      </w:r>
      <w:r w:rsidR="00E30174">
        <w:rPr>
          <w:rFonts w:asciiTheme="majorHAnsi" w:hAnsiTheme="majorHAnsi" w:cstheme="majorHAnsi"/>
          <w:sz w:val="24"/>
          <w:szCs w:val="24"/>
        </w:rPr>
        <w:t>lämplig</w:t>
      </w:r>
      <w:r w:rsidR="00DE71D0">
        <w:rPr>
          <w:rFonts w:asciiTheme="majorHAnsi" w:hAnsiTheme="majorHAnsi" w:cstheme="majorHAnsi"/>
          <w:sz w:val="24"/>
          <w:szCs w:val="24"/>
        </w:rPr>
        <w:t>are än andra biomarkörer</w:t>
      </w:r>
      <w:r w:rsidR="00E30174">
        <w:rPr>
          <w:rFonts w:asciiTheme="majorHAnsi" w:hAnsiTheme="majorHAnsi" w:cstheme="majorHAnsi"/>
          <w:sz w:val="24"/>
          <w:szCs w:val="24"/>
        </w:rPr>
        <w:t>.</w:t>
      </w:r>
    </w:p>
    <w:p w14:paraId="080AD012" w14:textId="4D5D8930" w:rsidR="00E22A23" w:rsidRDefault="00E30174" w:rsidP="00E3017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888DF6" w14:textId="0F05C4F0" w:rsidR="005A5F03" w:rsidRPr="007E5598" w:rsidRDefault="005A5F03" w:rsidP="00E22A2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c)</w:t>
      </w:r>
      <w:r w:rsidR="00E30174">
        <w:rPr>
          <w:rFonts w:asciiTheme="majorHAnsi" w:hAnsiTheme="majorHAnsi" w:cstheme="majorHAnsi"/>
          <w:sz w:val="24"/>
          <w:szCs w:val="24"/>
        </w:rPr>
        <w:t xml:space="preserve"> En lättöverskådlig skrift </w:t>
      </w:r>
      <w:r w:rsidR="00DE71D0">
        <w:rPr>
          <w:rFonts w:asciiTheme="majorHAnsi" w:hAnsiTheme="majorHAnsi" w:cstheme="majorHAnsi"/>
          <w:sz w:val="24"/>
          <w:szCs w:val="24"/>
        </w:rPr>
        <w:t xml:space="preserve">utgiven av Transportstyrelsen, </w:t>
      </w:r>
      <w:r w:rsidR="00E30174">
        <w:rPr>
          <w:rFonts w:asciiTheme="majorHAnsi" w:hAnsiTheme="majorHAnsi" w:cstheme="majorHAnsi"/>
          <w:sz w:val="24"/>
          <w:szCs w:val="24"/>
        </w:rPr>
        <w:t xml:space="preserve">eller översikt av regelverk </w:t>
      </w:r>
      <w:r w:rsidR="007E04FF">
        <w:rPr>
          <w:rFonts w:asciiTheme="majorHAnsi" w:hAnsiTheme="majorHAnsi" w:cstheme="majorHAnsi"/>
          <w:sz w:val="24"/>
          <w:szCs w:val="24"/>
        </w:rPr>
        <w:t>inklusive</w:t>
      </w:r>
      <w:r w:rsidR="00E30174">
        <w:rPr>
          <w:rFonts w:asciiTheme="majorHAnsi" w:hAnsiTheme="majorHAnsi" w:cstheme="majorHAnsi"/>
          <w:sz w:val="24"/>
          <w:szCs w:val="24"/>
        </w:rPr>
        <w:t xml:space="preserve"> handläggning av villkoren för läkarintyg och procedurerna för detta</w:t>
      </w:r>
      <w:r w:rsidR="007E04FF">
        <w:rPr>
          <w:rFonts w:asciiTheme="majorHAnsi" w:hAnsiTheme="majorHAnsi" w:cstheme="majorHAnsi"/>
          <w:sz w:val="24"/>
          <w:szCs w:val="24"/>
        </w:rPr>
        <w:t>,</w:t>
      </w:r>
      <w:r w:rsidR="00E30174">
        <w:rPr>
          <w:rFonts w:asciiTheme="majorHAnsi" w:hAnsiTheme="majorHAnsi" w:cstheme="majorHAnsi"/>
          <w:sz w:val="24"/>
          <w:szCs w:val="24"/>
        </w:rPr>
        <w:t xml:space="preserve"> skulle underlätta både för </w:t>
      </w:r>
      <w:r w:rsidR="007E04FF">
        <w:rPr>
          <w:rFonts w:asciiTheme="majorHAnsi" w:hAnsiTheme="majorHAnsi" w:cstheme="majorHAnsi"/>
          <w:sz w:val="24"/>
          <w:szCs w:val="24"/>
        </w:rPr>
        <w:t xml:space="preserve">berörd </w:t>
      </w:r>
      <w:r w:rsidR="00E30174">
        <w:rPr>
          <w:rFonts w:asciiTheme="majorHAnsi" w:hAnsiTheme="majorHAnsi" w:cstheme="majorHAnsi"/>
          <w:sz w:val="24"/>
          <w:szCs w:val="24"/>
        </w:rPr>
        <w:t>läkare och förståelse från patientens sida, inför procedurernas nödvändighet inom förskrifternas föreläggande.</w:t>
      </w:r>
      <w:r w:rsidR="007E04FF">
        <w:rPr>
          <w:rFonts w:asciiTheme="majorHAnsi" w:hAnsiTheme="majorHAnsi" w:cstheme="majorHAnsi"/>
          <w:sz w:val="24"/>
          <w:szCs w:val="24"/>
        </w:rPr>
        <w:t xml:space="preserve"> Denna skrift skulle kunna utföras i utgåva riktat till läkare och utgåva riktat till patienten.</w:t>
      </w:r>
    </w:p>
    <w:p w14:paraId="22EB8C59" w14:textId="73943AEF" w:rsidR="00B021D6" w:rsidRPr="007E5598" w:rsidRDefault="00E30174" w:rsidP="00E22A2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d) Rent generellt vill Svensk Psykiatrisk Förening påminna om att </w:t>
      </w:r>
      <w:r w:rsidR="007E04FF">
        <w:rPr>
          <w:rFonts w:asciiTheme="majorHAnsi" w:hAnsiTheme="majorHAnsi" w:cstheme="majorHAnsi"/>
          <w:sz w:val="24"/>
          <w:szCs w:val="24"/>
        </w:rPr>
        <w:t xml:space="preserve">kort eller omedelbar </w:t>
      </w:r>
      <w:r>
        <w:rPr>
          <w:rFonts w:asciiTheme="majorHAnsi" w:hAnsiTheme="majorHAnsi" w:cstheme="majorHAnsi"/>
          <w:sz w:val="24"/>
          <w:szCs w:val="24"/>
        </w:rPr>
        <w:t>tid emellan påkommen trafikonykterhet och beläggande av konsekvenser gällande körkortet, är mer effektivt mot trafikonykterhet, jämfört med konsekvenser tillkomna en period efter påkommen trafikonykterhet</w:t>
      </w:r>
      <w:r w:rsidR="007E04FF">
        <w:rPr>
          <w:rFonts w:asciiTheme="majorHAnsi" w:hAnsiTheme="majorHAnsi" w:cstheme="majorHAnsi"/>
          <w:sz w:val="24"/>
          <w:szCs w:val="24"/>
        </w:rPr>
        <w:t xml:space="preserve"> (1).</w:t>
      </w:r>
    </w:p>
    <w:p w14:paraId="28FAA74A" w14:textId="01308F06" w:rsidR="00B021D6" w:rsidRPr="00B021D6" w:rsidRDefault="007E04FF" w:rsidP="00B021D6">
      <w:pPr>
        <w:spacing w:after="0" w:line="240" w:lineRule="auto"/>
        <w:rPr>
          <w:rFonts w:asciiTheme="majorHAnsi" w:eastAsia="Times New Roman" w:hAnsiTheme="majorHAnsi" w:cstheme="majorHAnsi"/>
          <w:i/>
          <w:iCs/>
          <w:sz w:val="20"/>
          <w:szCs w:val="20"/>
          <w:lang w:eastAsia="sv-SE"/>
        </w:rPr>
      </w:pPr>
      <w:r w:rsidRPr="00DE71D0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 xml:space="preserve">1. </w:t>
      </w:r>
      <w:proofErr w:type="spell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>Wagenaar</w:t>
      </w:r>
      <w:proofErr w:type="spell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 xml:space="preserve"> AC, Maldonado-Molina MM. Effects of drivers' license suspension policies on alcohol-related crash involvement: long-term follow-up in forty-six states. Alcohol Clin Exp Res. 2007 Aug;31(8):1399-406. </w:t>
      </w:r>
      <w:proofErr w:type="spell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>doi</w:t>
      </w:r>
      <w:proofErr w:type="spell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>: 10.1111/j.1530-0277.2007.</w:t>
      </w:r>
      <w:proofErr w:type="gram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>00441.x.</w:t>
      </w:r>
      <w:proofErr w:type="gram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 xml:space="preserve"> </w:t>
      </w:r>
      <w:proofErr w:type="spell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>Epub</w:t>
      </w:r>
      <w:proofErr w:type="spell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val="en-US" w:eastAsia="sv-SE"/>
        </w:rPr>
        <w:t xml:space="preserve"> 2007 Jun 9. </w:t>
      </w:r>
      <w:proofErr w:type="spell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eastAsia="sv-SE"/>
        </w:rPr>
        <w:t>PMID</w:t>
      </w:r>
      <w:proofErr w:type="spell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eastAsia="sv-SE"/>
        </w:rPr>
        <w:t xml:space="preserve">: </w:t>
      </w:r>
      <w:proofErr w:type="gramStart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eastAsia="sv-SE"/>
        </w:rPr>
        <w:t>17559543</w:t>
      </w:r>
      <w:proofErr w:type="gramEnd"/>
      <w:r w:rsidR="00B021D6" w:rsidRPr="00B021D6">
        <w:rPr>
          <w:rFonts w:asciiTheme="majorHAnsi" w:eastAsia="Times New Roman" w:hAnsiTheme="majorHAnsi" w:cstheme="majorHAnsi"/>
          <w:i/>
          <w:iCs/>
          <w:color w:val="212121"/>
          <w:sz w:val="20"/>
          <w:szCs w:val="20"/>
          <w:shd w:val="clear" w:color="auto" w:fill="FFFFFF"/>
          <w:lang w:eastAsia="sv-SE"/>
        </w:rPr>
        <w:t>.</w:t>
      </w:r>
    </w:p>
    <w:p w14:paraId="18C7EAE8" w14:textId="5FC30E17" w:rsidR="00B021D6" w:rsidRDefault="00B021D6" w:rsidP="00E22A23">
      <w:pPr>
        <w:rPr>
          <w:rFonts w:asciiTheme="majorHAnsi" w:hAnsiTheme="majorHAnsi" w:cstheme="majorHAnsi"/>
          <w:sz w:val="24"/>
          <w:szCs w:val="24"/>
        </w:rPr>
      </w:pPr>
    </w:p>
    <w:p w14:paraId="59006989" w14:textId="2FCC3F75" w:rsidR="007E04FF" w:rsidRDefault="007E04FF" w:rsidP="00E22A2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För Svensk Psykiatrisk Förening</w:t>
      </w:r>
    </w:p>
    <w:p w14:paraId="32B1ABC2" w14:textId="6B60E7CE" w:rsidR="0022230E" w:rsidRPr="007E5598" w:rsidRDefault="007E04FF" w:rsidP="00E22A2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Cave Sinai, ledamot och remissansvarig</w:t>
      </w:r>
    </w:p>
    <w:sectPr w:rsidR="0022230E" w:rsidRPr="007E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23"/>
    <w:rsid w:val="005A5F03"/>
    <w:rsid w:val="006F6A2C"/>
    <w:rsid w:val="0077589F"/>
    <w:rsid w:val="007E04FF"/>
    <w:rsid w:val="007E5598"/>
    <w:rsid w:val="00947113"/>
    <w:rsid w:val="00B021D6"/>
    <w:rsid w:val="00DE71D0"/>
    <w:rsid w:val="00E22A23"/>
    <w:rsid w:val="00E30174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097CB"/>
  <w15:chartTrackingRefBased/>
  <w15:docId w15:val="{E3BA3232-A76B-5C48-A808-EC119EED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A23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fotstext">
    <w:name w:val="Sidfotstext"/>
    <w:basedOn w:val="Normal"/>
    <w:semiHidden/>
    <w:rsid w:val="00B021D6"/>
    <w:pPr>
      <w:spacing w:after="0" w:line="240" w:lineRule="auto"/>
    </w:pPr>
    <w:rPr>
      <w:rFonts w:asciiTheme="majorHAnsi" w:eastAsia="Times New Roman" w:hAnsiTheme="majorHAnsi" w:cs="Times New Roman"/>
      <w:sz w:val="16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 Sinai</dc:creator>
  <cp:keywords/>
  <dc:description/>
  <cp:lastModifiedBy>Cave Sinai</cp:lastModifiedBy>
  <cp:revision>2</cp:revision>
  <dcterms:created xsi:type="dcterms:W3CDTF">2021-04-01T13:45:00Z</dcterms:created>
  <dcterms:modified xsi:type="dcterms:W3CDTF">2021-04-01T14:51:00Z</dcterms:modified>
</cp:coreProperties>
</file>